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DC06" w14:textId="5EF5F720" w:rsidR="00FE1F02" w:rsidRDefault="007D42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7EB1937C" wp14:editId="06B97B05">
                <wp:simplePos x="0" y="0"/>
                <wp:positionH relativeFrom="column">
                  <wp:posOffset>2049780</wp:posOffset>
                </wp:positionH>
                <wp:positionV relativeFrom="paragraph">
                  <wp:posOffset>53340</wp:posOffset>
                </wp:positionV>
                <wp:extent cx="4107180" cy="1424940"/>
                <wp:effectExtent l="0" t="0" r="0" b="3810"/>
                <wp:wrapSquare wrapText="bothSides" distT="45720" distB="4572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180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12A377" w14:textId="77777777" w:rsidR="00FE1F02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36"/>
                              </w:rPr>
                              <w:t xml:space="preserve">MATLOCK AREA U3A </w:t>
                            </w:r>
                          </w:p>
                          <w:p w14:paraId="2C15FF66" w14:textId="77777777" w:rsidR="00FE1F02" w:rsidRDefault="00FE1F02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  <w:p w14:paraId="2F27A0E8" w14:textId="77777777" w:rsidR="00B45B8F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36"/>
                              </w:rPr>
                              <w:t>TREASURER’S REPOR</w:t>
                            </w:r>
                            <w:r w:rsidR="00B45B8F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36"/>
                              </w:rPr>
                              <w:t>T</w:t>
                            </w:r>
                          </w:p>
                          <w:p w14:paraId="62F3A692" w14:textId="77AC7C40" w:rsidR="00FE1F02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36"/>
                              </w:rPr>
                              <w:t xml:space="preserve"> F</w:t>
                            </w:r>
                            <w:r w:rsidR="00B45B8F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36"/>
                              </w:rPr>
                              <w:t>ull Year 2022-2023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1937C" id="Rectangle 4" o:spid="_x0000_s1026" style="position:absolute;margin-left:161.4pt;margin-top:4.2pt;width:323.4pt;height:11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" filled="f" stroked="f">
                <v:textbox inset="2.53958mm,1.2694mm,2.53958mm,1.2694mm">
                  <w:txbxContent>
                    <w:p w14:paraId="7E12A377" w14:textId="77777777" w:rsidR="00FE1F02" w:rsidRDefault="00000000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2060"/>
                          <w:sz w:val="36"/>
                        </w:rPr>
                        <w:t xml:space="preserve">MATLOCK AREA U3A </w:t>
                      </w:r>
                    </w:p>
                    <w:p w14:paraId="2C15FF66" w14:textId="77777777" w:rsidR="00FE1F02" w:rsidRDefault="00FE1F02">
                      <w:pPr>
                        <w:spacing w:after="0" w:line="258" w:lineRule="auto"/>
                        <w:textDirection w:val="btLr"/>
                      </w:pPr>
                    </w:p>
                    <w:p w14:paraId="2F27A0E8" w14:textId="77777777" w:rsidR="00B45B8F" w:rsidRDefault="00000000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  <w:color w:val="002060"/>
                          <w:sz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2060"/>
                          <w:sz w:val="36"/>
                        </w:rPr>
                        <w:t>TREASURER’S REPOR</w:t>
                      </w:r>
                      <w:r w:rsidR="00B45B8F">
                        <w:rPr>
                          <w:rFonts w:ascii="Arial" w:eastAsia="Arial" w:hAnsi="Arial" w:cs="Arial"/>
                          <w:b/>
                          <w:color w:val="002060"/>
                          <w:sz w:val="36"/>
                        </w:rPr>
                        <w:t>T</w:t>
                      </w:r>
                    </w:p>
                    <w:p w14:paraId="62F3A692" w14:textId="77AC7C40" w:rsidR="00FE1F02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2060"/>
                          <w:sz w:val="36"/>
                        </w:rPr>
                        <w:t xml:space="preserve"> F</w:t>
                      </w:r>
                      <w:r w:rsidR="00B45B8F">
                        <w:rPr>
                          <w:rFonts w:ascii="Arial" w:eastAsia="Arial" w:hAnsi="Arial" w:cs="Arial"/>
                          <w:b/>
                          <w:color w:val="002060"/>
                          <w:sz w:val="36"/>
                        </w:rPr>
                        <w:t>ull Year 2022-2023</w:t>
                      </w:r>
                      <w:r>
                        <w:rPr>
                          <w:rFonts w:ascii="Arial" w:eastAsia="Arial" w:hAnsi="Arial" w:cs="Arial"/>
                          <w:b/>
                          <w:color w:val="002060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A65CC47" wp14:editId="48508319">
            <wp:extent cx="1219200" cy="891540"/>
            <wp:effectExtent l="0" t="0" r="0" b="0"/>
            <wp:docPr id="5" name="image1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91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69AF77" w14:textId="77777777" w:rsidR="00FE1F02" w:rsidRDefault="00FE1F02"/>
    <w:p w14:paraId="0BE4D067" w14:textId="77777777" w:rsidR="007D42BA" w:rsidRDefault="007D42BA"/>
    <w:p w14:paraId="14D056B2" w14:textId="77777777" w:rsidR="007D42BA" w:rsidRDefault="007D42BA"/>
    <w:p w14:paraId="3A7D478A" w14:textId="027E4E77" w:rsidR="00FE1F02" w:rsidRPr="0066067C" w:rsidRDefault="00000000">
      <w:pPr>
        <w:rPr>
          <w:sz w:val="24"/>
          <w:szCs w:val="24"/>
        </w:rPr>
      </w:pPr>
      <w:r>
        <w:t xml:space="preserve"> </w:t>
      </w:r>
      <w:r w:rsidRPr="0066067C">
        <w:rPr>
          <w:sz w:val="24"/>
          <w:szCs w:val="24"/>
        </w:rPr>
        <w:t xml:space="preserve">Attached is a summary </w:t>
      </w:r>
      <w:r w:rsidR="008B6E6E" w:rsidRPr="0066067C">
        <w:rPr>
          <w:sz w:val="24"/>
          <w:szCs w:val="24"/>
        </w:rPr>
        <w:t>of the</w:t>
      </w:r>
      <w:r w:rsidRPr="0066067C">
        <w:rPr>
          <w:sz w:val="24"/>
          <w:szCs w:val="24"/>
        </w:rPr>
        <w:t xml:space="preserve"> Accounts for the full year 2022-3.</w:t>
      </w:r>
    </w:p>
    <w:p w14:paraId="4294EDFE" w14:textId="640B067D" w:rsidR="009D25D4" w:rsidRPr="0066067C" w:rsidRDefault="009D25D4">
      <w:pPr>
        <w:rPr>
          <w:sz w:val="24"/>
          <w:szCs w:val="24"/>
        </w:rPr>
      </w:pPr>
      <w:r w:rsidRPr="0066067C">
        <w:rPr>
          <w:sz w:val="24"/>
          <w:szCs w:val="24"/>
        </w:rPr>
        <w:t>The figures here are provisional</w:t>
      </w:r>
      <w:r w:rsidR="00B45B8F">
        <w:rPr>
          <w:sz w:val="24"/>
          <w:szCs w:val="24"/>
        </w:rPr>
        <w:t>. Full year papers have been submitted to Coates and Partners (auditors) for review and should be available for the agm</w:t>
      </w:r>
    </w:p>
    <w:p w14:paraId="732E54C4" w14:textId="5F4EA0FC" w:rsidR="00FE1F02" w:rsidRPr="0066067C" w:rsidRDefault="00000000">
      <w:pPr>
        <w:rPr>
          <w:sz w:val="24"/>
          <w:szCs w:val="24"/>
        </w:rPr>
      </w:pPr>
      <w:r w:rsidRPr="0066067C">
        <w:rPr>
          <w:sz w:val="24"/>
          <w:szCs w:val="24"/>
        </w:rPr>
        <w:t xml:space="preserve"> In the main bank account, we currently have a balance of £16,072 but there is still an outstanding invoice from the football club which is likely to be in the region of £260. There are no other significant outstanding liabilities. Overall, we have a balance of £19,148 across all 3 bank accounts.</w:t>
      </w:r>
    </w:p>
    <w:p w14:paraId="5376E906" w14:textId="1C218D81" w:rsidR="00FE1F02" w:rsidRPr="0066067C" w:rsidRDefault="00000000">
      <w:pPr>
        <w:rPr>
          <w:sz w:val="24"/>
          <w:szCs w:val="24"/>
        </w:rPr>
      </w:pPr>
      <w:r w:rsidRPr="0066067C">
        <w:rPr>
          <w:sz w:val="24"/>
          <w:szCs w:val="24"/>
        </w:rPr>
        <w:t xml:space="preserve">Membership fees for 2022 totalled £6,448 and we have already collected £4,697 for 2023. The financial year end of January 31st, with subscriptions coming in from January 1st for the following financial year </w:t>
      </w:r>
      <w:r w:rsidR="008B6E6E" w:rsidRPr="0066067C">
        <w:rPr>
          <w:sz w:val="24"/>
          <w:szCs w:val="24"/>
        </w:rPr>
        <w:t>presents an</w:t>
      </w:r>
      <w:r w:rsidRPr="0066067C">
        <w:rPr>
          <w:sz w:val="24"/>
          <w:szCs w:val="24"/>
        </w:rPr>
        <w:t xml:space="preserve"> unnecessarily complicated end to the financial year for the treasurer. The committee have therefore decided to delay the payment of the subscriptions for 23-24 to come into effect after the previous financial year has ended</w:t>
      </w:r>
    </w:p>
    <w:p w14:paraId="13D674E8" w14:textId="25915EDA" w:rsidR="00FE1F02" w:rsidRPr="0066067C" w:rsidRDefault="00000000">
      <w:pPr>
        <w:rPr>
          <w:sz w:val="24"/>
          <w:szCs w:val="24"/>
        </w:rPr>
      </w:pPr>
      <w:r w:rsidRPr="0066067C">
        <w:rPr>
          <w:sz w:val="24"/>
          <w:szCs w:val="24"/>
        </w:rPr>
        <w:t xml:space="preserve">The main expense from our account is to the Third Age Trust, the central u3a body, which amounts to £4225. This covers the insurance of our activities and </w:t>
      </w:r>
      <w:r w:rsidR="008B6E6E" w:rsidRPr="0066067C">
        <w:rPr>
          <w:sz w:val="24"/>
          <w:szCs w:val="24"/>
        </w:rPr>
        <w:t>groups, the</w:t>
      </w:r>
      <w:r w:rsidRPr="0066067C">
        <w:rPr>
          <w:sz w:val="24"/>
          <w:szCs w:val="24"/>
        </w:rPr>
        <w:t xml:space="preserve"> support that the central office gives us, and the Third Age Magazine. We do pay extra for this per head. </w:t>
      </w:r>
    </w:p>
    <w:p w14:paraId="254FA713" w14:textId="77777777" w:rsidR="00FE1F02" w:rsidRPr="0066067C" w:rsidRDefault="00000000">
      <w:pPr>
        <w:rPr>
          <w:sz w:val="24"/>
          <w:szCs w:val="24"/>
        </w:rPr>
      </w:pPr>
      <w:r w:rsidRPr="0066067C">
        <w:rPr>
          <w:sz w:val="24"/>
          <w:szCs w:val="24"/>
        </w:rPr>
        <w:t>The committee expenses amount to £837, most of which is in printing and postage costs to keep those with no email in touch.</w:t>
      </w:r>
    </w:p>
    <w:p w14:paraId="7BC93F9E" w14:textId="43E2EA65" w:rsidR="00FE1F02" w:rsidRPr="0066067C" w:rsidRDefault="00000000">
      <w:pPr>
        <w:rPr>
          <w:sz w:val="24"/>
          <w:szCs w:val="24"/>
        </w:rPr>
      </w:pPr>
      <w:r w:rsidRPr="0066067C">
        <w:rPr>
          <w:sz w:val="24"/>
          <w:szCs w:val="24"/>
        </w:rPr>
        <w:t xml:space="preserve">Significant transactions include deposits for the Bridge group trip to </w:t>
      </w:r>
      <w:proofErr w:type="spellStart"/>
      <w:r w:rsidRPr="0066067C">
        <w:rPr>
          <w:sz w:val="24"/>
          <w:szCs w:val="24"/>
        </w:rPr>
        <w:t>Cober</w:t>
      </w:r>
      <w:proofErr w:type="spellEnd"/>
      <w:r w:rsidRPr="0066067C">
        <w:rPr>
          <w:sz w:val="24"/>
          <w:szCs w:val="24"/>
        </w:rPr>
        <w:t xml:space="preserve"> Hill and the Garden Group visit to RHS Bridgewater. These visits and activities are </w:t>
      </w:r>
      <w:r w:rsidR="008B6E6E" w:rsidRPr="0066067C">
        <w:rPr>
          <w:sz w:val="24"/>
          <w:szCs w:val="24"/>
        </w:rPr>
        <w:t>self-financing</w:t>
      </w:r>
      <w:r w:rsidRPr="0066067C">
        <w:rPr>
          <w:sz w:val="24"/>
          <w:szCs w:val="24"/>
        </w:rPr>
        <w:t>. We do subsidise the coffee morning room hire, although the speakers have been financed from takings.</w:t>
      </w:r>
    </w:p>
    <w:p w14:paraId="2D542502" w14:textId="616448ED" w:rsidR="00FE1F02" w:rsidRPr="0066067C" w:rsidRDefault="00000000">
      <w:pPr>
        <w:rPr>
          <w:sz w:val="24"/>
          <w:szCs w:val="24"/>
        </w:rPr>
      </w:pPr>
      <w:r w:rsidRPr="0066067C">
        <w:rPr>
          <w:sz w:val="24"/>
          <w:szCs w:val="24"/>
        </w:rPr>
        <w:t>Nothing has materially altered the projected spend</w:t>
      </w:r>
      <w:r w:rsidR="00461FE9">
        <w:rPr>
          <w:sz w:val="24"/>
          <w:szCs w:val="24"/>
        </w:rPr>
        <w:t>,</w:t>
      </w:r>
      <w:r w:rsidRPr="0066067C">
        <w:rPr>
          <w:sz w:val="24"/>
          <w:szCs w:val="24"/>
        </w:rPr>
        <w:t xml:space="preserve"> meaning that we remain in good financial shape, with a closing balance at present £2400 above last year. The committee is therefore in a position to assist groups with the purchase of equipment if an application is made to them.</w:t>
      </w:r>
    </w:p>
    <w:p w14:paraId="32A1F65A" w14:textId="77777777" w:rsidR="00FE1F02" w:rsidRPr="0066067C" w:rsidRDefault="00000000">
      <w:pPr>
        <w:rPr>
          <w:sz w:val="24"/>
          <w:szCs w:val="24"/>
        </w:rPr>
      </w:pPr>
      <w:r w:rsidRPr="0066067C">
        <w:rPr>
          <w:sz w:val="24"/>
          <w:szCs w:val="24"/>
        </w:rPr>
        <w:t>Brian Williamson</w:t>
      </w:r>
    </w:p>
    <w:p w14:paraId="0A749F68" w14:textId="77777777" w:rsidR="00FE1F02" w:rsidRDefault="00000000">
      <w:pPr>
        <w:sectPr w:rsidR="00FE1F02">
          <w:pgSz w:w="11906" w:h="16838"/>
          <w:pgMar w:top="1440" w:right="1440" w:bottom="1440" w:left="1440" w:header="708" w:footer="708" w:gutter="0"/>
          <w:pgNumType w:start="1"/>
          <w:cols w:space="720"/>
        </w:sectPr>
      </w:pPr>
      <w:r w:rsidRPr="0066067C">
        <w:rPr>
          <w:sz w:val="24"/>
          <w:szCs w:val="24"/>
        </w:rPr>
        <w:br w:type="page"/>
      </w:r>
    </w:p>
    <w:p w14:paraId="371421EA" w14:textId="77777777" w:rsidR="00FE1F02" w:rsidRDefault="00000000">
      <w:pPr>
        <w:jc w:val="center"/>
      </w:pPr>
      <w:r>
        <w:rPr>
          <w:noProof/>
        </w:rPr>
        <w:lastRenderedPageBreak/>
        <w:drawing>
          <wp:inline distT="0" distB="0" distL="0" distR="0" wp14:anchorId="66394E11" wp14:editId="3F74C767">
            <wp:extent cx="7073814" cy="6197655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73814" cy="6197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E1F02">
      <w:pgSz w:w="16838" w:h="11906" w:orient="landscape"/>
      <w:pgMar w:top="851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F02"/>
    <w:rsid w:val="00461FE9"/>
    <w:rsid w:val="0066067C"/>
    <w:rsid w:val="007D42BA"/>
    <w:rsid w:val="008B6E6E"/>
    <w:rsid w:val="009D25D4"/>
    <w:rsid w:val="00B45B8F"/>
    <w:rsid w:val="00D95458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596A"/>
  <w15:docId w15:val="{19FC56E1-E673-47B6-9083-DA80F3B1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3D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1LGpvc12drCBf4nwgKP65OZEPA==">AMUW2mUk+aT20qOvl090J/teOe3ZwBY68kH7R8kW7zLExisqg3ynq0tv81A++7uYiPPVOK0yVDE0HmwtQnefhhN+FNrIrcrUrudwD3S5irB99aKLCedmKJ0=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Williamson</dc:creator>
  <cp:lastModifiedBy>Elizabeth Walker</cp:lastModifiedBy>
  <cp:revision>3</cp:revision>
  <cp:lastPrinted>2023-03-06T17:59:00Z</cp:lastPrinted>
  <dcterms:created xsi:type="dcterms:W3CDTF">2023-03-06T17:59:00Z</dcterms:created>
  <dcterms:modified xsi:type="dcterms:W3CDTF">2023-03-06T19:46:00Z</dcterms:modified>
</cp:coreProperties>
</file>